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杰出人才、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高层次人才岗位（副教授及以上）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前沿交叉领域：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重点围绕人工智能与智慧农业、中医药与人类健康、绿色农业与美丽乡村建设、粮食安全与自然资源管理等前沿交叉领域，具体研究专业方向包括但不限于：表型组学、人工智能、生物信息学、农业信息学、智慧农业、合成生物学、生物传感器技术、健康与营养、化学生物学、生物物理学、绿色农业、园艺康养、中医与中药、乡村振兴、食品安全、粮食安全、自然资源管理、数字人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传统专业领域：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大农学类（作物学、园艺学、农业资源与环境、植物保护、畜牧学、兽医学、水产学、草学等）；理工类（生物学、生态学、环境科学与工程、风景园林学、农业工程、统计学、计算机科学与技术等）；人文社科类（管理学、经济学、金融学、社会学、法学、历史学等）等领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7D03"/>
    <w:rsid w:val="33A532A8"/>
    <w:rsid w:val="7D9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2021-08-18T01:50:00Z</dcterms:created>
  <dc:creator>PGK</dc:creator>
  <cp:lastModifiedBy>石木舟</cp:lastModifiedBy>
  <dcterms:modified xsi:type="dcterms:W3CDTF">2022-03-25T08:33:02Z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BADDD159C38549AEA9ABAAA214E733D3</vt:lpwstr>
  </property>
</Properties>
</file>