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2CD1D" w14:textId="77777777" w:rsidR="00D570A7" w:rsidRPr="00A451FC" w:rsidRDefault="00D570A7" w:rsidP="00D570A7">
      <w:pPr>
        <w:widowControl/>
        <w:spacing w:before="375" w:after="375" w:line="540" w:lineRule="atLeast"/>
        <w:ind w:firstLine="480"/>
        <w:jc w:val="center"/>
        <w:rPr>
          <w:rFonts w:ascii="微软雅黑" w:eastAsia="微软雅黑" w:hAnsi="微软雅黑" w:cs="宋体" w:hint="eastAsia"/>
          <w:color w:val="333333"/>
          <w:kern w:val="0"/>
          <w:sz w:val="27"/>
          <w:szCs w:val="27"/>
          <w14:ligatures w14:val="none"/>
        </w:rPr>
      </w:pPr>
      <w:bookmarkStart w:id="0" w:name="OLE_LINK1"/>
      <w:r w:rsidRPr="00A451FC">
        <w:rPr>
          <w:rFonts w:ascii="微软雅黑" w:eastAsia="微软雅黑" w:hAnsi="微软雅黑" w:cs="宋体" w:hint="eastAsia"/>
          <w:b/>
          <w:bCs/>
          <w:color w:val="333333"/>
          <w:kern w:val="0"/>
          <w:sz w:val="27"/>
          <w:szCs w:val="27"/>
          <w14:ligatures w14:val="none"/>
        </w:rPr>
        <w:t>研究</w:t>
      </w:r>
      <w:proofErr w:type="gramStart"/>
      <w:r w:rsidRPr="00A451FC">
        <w:rPr>
          <w:rFonts w:ascii="微软雅黑" w:eastAsia="微软雅黑" w:hAnsi="微软雅黑" w:cs="宋体" w:hint="eastAsia"/>
          <w:b/>
          <w:bCs/>
          <w:color w:val="333333"/>
          <w:kern w:val="0"/>
          <w:sz w:val="27"/>
          <w:szCs w:val="27"/>
          <w14:ligatures w14:val="none"/>
        </w:rPr>
        <w:t>阐释党</w:t>
      </w:r>
      <w:proofErr w:type="gramEnd"/>
      <w:r w:rsidRPr="00A451FC">
        <w:rPr>
          <w:rFonts w:ascii="微软雅黑" w:eastAsia="微软雅黑" w:hAnsi="微软雅黑" w:cs="宋体" w:hint="eastAsia"/>
          <w:b/>
          <w:bCs/>
          <w:color w:val="333333"/>
          <w:kern w:val="0"/>
          <w:sz w:val="27"/>
          <w:szCs w:val="27"/>
          <w14:ligatures w14:val="none"/>
        </w:rPr>
        <w:t>的二十届四中全会精神重大专项招标选题</w:t>
      </w:r>
      <w:bookmarkEnd w:id="0"/>
    </w:p>
    <w:p w14:paraId="56D3D110"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1.“十四五”时期我国经济社会发展的重大成就及经验研究</w:t>
      </w:r>
    </w:p>
    <w:p w14:paraId="170832A6"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2.社会主义现代化阶梯式发展及其规律性研究</w:t>
      </w:r>
    </w:p>
    <w:p w14:paraId="308BC9FF"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3.基本实现社会主义现代化取得决定性进展的基本样态和衡量标准研究</w:t>
      </w:r>
    </w:p>
    <w:p w14:paraId="7DD0FE3F"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4.续写经济快速发展和社会长期稳定两大奇迹新篇章的战略和路径研究</w:t>
      </w:r>
    </w:p>
    <w:p w14:paraId="55B6A315"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5.“十五五”时期我国经济社会发展面临的复杂环境和风险挑战研究</w:t>
      </w:r>
    </w:p>
    <w:p w14:paraId="5A9B418E"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6.“十五五”时期高质量发展的新内涵、新要求及其创新实践研究</w:t>
      </w:r>
    </w:p>
    <w:p w14:paraId="112ED821"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7.构建统一、开放、竞争、有序市场体系的战略重点与重大举措研究</w:t>
      </w:r>
    </w:p>
    <w:p w14:paraId="4D2620E9"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8.新时代巩固壮大实体经济根基的理论创新与制度支撑研究</w:t>
      </w:r>
    </w:p>
    <w:p w14:paraId="4AC969F4"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9.推进实体经济智能化、绿色化、融合化的创新机制与路径研究</w:t>
      </w:r>
    </w:p>
    <w:p w14:paraId="2BF29148"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10.构建以先进制造业为骨干的现代化产业体系研究</w:t>
      </w:r>
    </w:p>
    <w:p w14:paraId="13BC3041"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lastRenderedPageBreak/>
        <w:t>11.加快产业模式和企业组织形态变革研究</w:t>
      </w:r>
    </w:p>
    <w:p w14:paraId="3593F0D3"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12.新兴产业规模化发展的培育机制与国际竞争策略研究</w:t>
      </w:r>
    </w:p>
    <w:p w14:paraId="078AA5DF"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13.未来产业投入增长与风险分担机制的政策体系研究</w:t>
      </w:r>
    </w:p>
    <w:p w14:paraId="6D0A1FF8"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14.提高现代服务业与先进制造业、现代农业融合发展水平的理论及实践研究</w:t>
      </w:r>
    </w:p>
    <w:p w14:paraId="387963A2"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15.加快促进</w:t>
      </w:r>
      <w:proofErr w:type="gramStart"/>
      <w:r w:rsidRPr="00A451FC">
        <w:rPr>
          <w:rFonts w:ascii="微软雅黑" w:eastAsia="微软雅黑" w:hAnsi="微软雅黑" w:cs="宋体" w:hint="eastAsia"/>
          <w:color w:val="333333"/>
          <w:kern w:val="0"/>
          <w:sz w:val="27"/>
          <w:szCs w:val="27"/>
          <w14:ligatures w14:val="none"/>
        </w:rPr>
        <w:t>服务业数智化</w:t>
      </w:r>
      <w:proofErr w:type="gramEnd"/>
      <w:r w:rsidRPr="00A451FC">
        <w:rPr>
          <w:rFonts w:ascii="微软雅黑" w:eastAsia="微软雅黑" w:hAnsi="微软雅黑" w:cs="宋体" w:hint="eastAsia"/>
          <w:color w:val="333333"/>
          <w:kern w:val="0"/>
          <w:sz w:val="27"/>
          <w:szCs w:val="27"/>
          <w14:ligatures w14:val="none"/>
        </w:rPr>
        <w:t>发展的政策体系研究</w:t>
      </w:r>
    </w:p>
    <w:p w14:paraId="23EFFF1E"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16.健全服务业统计监测体系研究</w:t>
      </w:r>
    </w:p>
    <w:p w14:paraId="491ADD64"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17.多元化韧性强的国际运输通道体系建设及政策保障研究</w:t>
      </w:r>
    </w:p>
    <w:p w14:paraId="26AC27B6"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18.加强基础研究战略性、前瞻性、体系化布局推动原始创新研究</w:t>
      </w:r>
    </w:p>
    <w:p w14:paraId="357C378D"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19.科技创新和产业创新深度融合的体制机制研究</w:t>
      </w:r>
    </w:p>
    <w:p w14:paraId="796BEC2B"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20.营造具有全球竞争力的开放创新生态重大问题研究</w:t>
      </w:r>
    </w:p>
    <w:p w14:paraId="3C50268E"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21.强化企业科技创新主体地位的理论逻辑和机制建设研究</w:t>
      </w:r>
    </w:p>
    <w:p w14:paraId="69E3F604"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22.一体推进教育科技人才发展的制度建设与国际比较研究</w:t>
      </w:r>
    </w:p>
    <w:p w14:paraId="6961EEE3"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23.全国一体化数据市场建设的基本问题与制度构建研究</w:t>
      </w:r>
    </w:p>
    <w:p w14:paraId="6D1668D5"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lastRenderedPageBreak/>
        <w:t>24.促进实体经济和数字经济深度融合的理论及实践研究</w:t>
      </w:r>
    </w:p>
    <w:p w14:paraId="0FC0A293"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25.以人工智能引领科研范式变革研究</w:t>
      </w:r>
    </w:p>
    <w:p w14:paraId="6C29AA28"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26.加强人工智能治理的法制体系与伦理准则研究</w:t>
      </w:r>
    </w:p>
    <w:p w14:paraId="1571A8AF"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27.推动平台经济创新和健康发展研究</w:t>
      </w:r>
    </w:p>
    <w:p w14:paraId="446107A2"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28.投资于物和投资于人紧密结合的理论与政策研究</w:t>
      </w:r>
    </w:p>
    <w:p w14:paraId="596EA552"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29.促进消费和投资、供给和需求良性互动的政策协同研究</w:t>
      </w:r>
    </w:p>
    <w:p w14:paraId="04C921F8"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30.完善促进消费制度机制研究</w:t>
      </w:r>
    </w:p>
    <w:p w14:paraId="3328DF24"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31.规范地方政府经济促进行为的基本内涵与政策体系研究</w:t>
      </w:r>
    </w:p>
    <w:p w14:paraId="42053CD2"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32.完善有利于全国统一大市场建设的统计、财税、考核制度体系研究</w:t>
      </w:r>
    </w:p>
    <w:p w14:paraId="5DFB2ED6"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33.充分激发各类经营主体活力的制度建设与实施路径研究</w:t>
      </w:r>
    </w:p>
    <w:p w14:paraId="0840ACD3"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34.增强国有企业核心功能、提升核心竞争力的政策设计与实现路径研究</w:t>
      </w:r>
    </w:p>
    <w:p w14:paraId="3432CF67"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35.推动大中小企业协同融通发展的政策创新与机制保障研究</w:t>
      </w:r>
    </w:p>
    <w:p w14:paraId="1C4B7777"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36.全国行政事业单位存量国有资产盘活共享机制研究</w:t>
      </w:r>
    </w:p>
    <w:p w14:paraId="1632C9EE"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lastRenderedPageBreak/>
        <w:t>37.促进形成内需主导、消费拉动、内</w:t>
      </w:r>
      <w:proofErr w:type="gramStart"/>
      <w:r w:rsidRPr="00A451FC">
        <w:rPr>
          <w:rFonts w:ascii="微软雅黑" w:eastAsia="微软雅黑" w:hAnsi="微软雅黑" w:cs="宋体" w:hint="eastAsia"/>
          <w:color w:val="333333"/>
          <w:kern w:val="0"/>
          <w:sz w:val="27"/>
          <w:szCs w:val="27"/>
          <w14:ligatures w14:val="none"/>
        </w:rPr>
        <w:t>生增长</w:t>
      </w:r>
      <w:proofErr w:type="gramEnd"/>
      <w:r w:rsidRPr="00A451FC">
        <w:rPr>
          <w:rFonts w:ascii="微软雅黑" w:eastAsia="微软雅黑" w:hAnsi="微软雅黑" w:cs="宋体" w:hint="eastAsia"/>
          <w:color w:val="333333"/>
          <w:kern w:val="0"/>
          <w:sz w:val="27"/>
          <w:szCs w:val="27"/>
          <w14:ligatures w14:val="none"/>
        </w:rPr>
        <w:t>的经济发展模式研究</w:t>
      </w:r>
    </w:p>
    <w:p w14:paraId="35795DB1"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38.完善政策取向一致性和有效性的宏观经济治理体系研究</w:t>
      </w:r>
    </w:p>
    <w:p w14:paraId="0C0C2BEA"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39.健全经营所得、资本所得、财产所得税收政策研究</w:t>
      </w:r>
    </w:p>
    <w:p w14:paraId="49FD76F7"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40.构建同高质量发展相适应的政府债务管理长效机制研究</w:t>
      </w:r>
    </w:p>
    <w:p w14:paraId="1BC9BC19"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41.健全投资和融资相协调资本市场功能的理论与政策研究</w:t>
      </w:r>
    </w:p>
    <w:p w14:paraId="2541C0CF"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42.</w:t>
      </w:r>
      <w:proofErr w:type="gramStart"/>
      <w:r w:rsidRPr="00A451FC">
        <w:rPr>
          <w:rFonts w:ascii="微软雅黑" w:eastAsia="微软雅黑" w:hAnsi="微软雅黑" w:cs="宋体" w:hint="eastAsia"/>
          <w:color w:val="333333"/>
          <w:kern w:val="0"/>
          <w:sz w:val="27"/>
          <w:szCs w:val="27"/>
          <w14:ligatures w14:val="none"/>
        </w:rPr>
        <w:t>强化央地金融</w:t>
      </w:r>
      <w:proofErr w:type="gramEnd"/>
      <w:r w:rsidRPr="00A451FC">
        <w:rPr>
          <w:rFonts w:ascii="微软雅黑" w:eastAsia="微软雅黑" w:hAnsi="微软雅黑" w:cs="宋体" w:hint="eastAsia"/>
          <w:color w:val="333333"/>
          <w:kern w:val="0"/>
          <w:sz w:val="27"/>
          <w:szCs w:val="27"/>
          <w14:ligatures w14:val="none"/>
        </w:rPr>
        <w:t>监管协同机制研究</w:t>
      </w:r>
    </w:p>
    <w:p w14:paraId="668E81BD"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43.扩大高水平对外开放的理论内涵与实践创新研究</w:t>
      </w:r>
    </w:p>
    <w:p w14:paraId="041426E0"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44.建设自主可控的人民币跨境支付体系研究</w:t>
      </w:r>
    </w:p>
    <w:p w14:paraId="1424127B"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45.推进全球经济金融治理改革的重大战略问题研究</w:t>
      </w:r>
    </w:p>
    <w:p w14:paraId="46E5A784"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46.创新发展数字贸易与有序扩大数字领域开放研究</w:t>
      </w:r>
    </w:p>
    <w:p w14:paraId="73583A95"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47.数据高效便利安全跨境流动的制度创新与风险管控研究</w:t>
      </w:r>
    </w:p>
    <w:p w14:paraId="1ACC58D9"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48.高水平对外开放中海外利益的风险识别与应对策略研究</w:t>
      </w:r>
    </w:p>
    <w:p w14:paraId="2C7933E8"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49.把农业建成现代化大产业的战略布局与实施路径研究</w:t>
      </w:r>
    </w:p>
    <w:p w14:paraId="40C9122A"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lastRenderedPageBreak/>
        <w:t>50.促进小农户和现代农业发展有机衔接的实现机制与政策保障研究</w:t>
      </w:r>
    </w:p>
    <w:p w14:paraId="7CCAA8A6"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51.推进宜</w:t>
      </w:r>
      <w:proofErr w:type="gramStart"/>
      <w:r w:rsidRPr="00A451FC">
        <w:rPr>
          <w:rFonts w:ascii="微软雅黑" w:eastAsia="微软雅黑" w:hAnsi="微软雅黑" w:cs="宋体" w:hint="eastAsia"/>
          <w:color w:val="333333"/>
          <w:kern w:val="0"/>
          <w:sz w:val="27"/>
          <w:szCs w:val="27"/>
          <w14:ligatures w14:val="none"/>
        </w:rPr>
        <w:t>居宜业</w:t>
      </w:r>
      <w:proofErr w:type="gramEnd"/>
      <w:r w:rsidRPr="00A451FC">
        <w:rPr>
          <w:rFonts w:ascii="微软雅黑" w:eastAsia="微软雅黑" w:hAnsi="微软雅黑" w:cs="宋体" w:hint="eastAsia"/>
          <w:color w:val="333333"/>
          <w:kern w:val="0"/>
          <w:sz w:val="27"/>
          <w:szCs w:val="27"/>
          <w14:ligatures w14:val="none"/>
        </w:rPr>
        <w:t>和美乡村建设的实践经验与理论创新研究</w:t>
      </w:r>
    </w:p>
    <w:p w14:paraId="05B4EEE1"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52.分类有序、片区化推进乡村振兴的科学内涵与政策体系研究</w:t>
      </w:r>
    </w:p>
    <w:p w14:paraId="093CE9E9"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53.推进县域国土空间治理、创造乡村优质生活空间政策研究</w:t>
      </w:r>
    </w:p>
    <w:p w14:paraId="00E63DA8"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54.统筹建立常态</w:t>
      </w:r>
      <w:proofErr w:type="gramStart"/>
      <w:r w:rsidRPr="00A451FC">
        <w:rPr>
          <w:rFonts w:ascii="微软雅黑" w:eastAsia="微软雅黑" w:hAnsi="微软雅黑" w:cs="宋体" w:hint="eastAsia"/>
          <w:color w:val="333333"/>
          <w:kern w:val="0"/>
          <w:sz w:val="27"/>
          <w:szCs w:val="27"/>
          <w14:ligatures w14:val="none"/>
        </w:rPr>
        <w:t>化防止</w:t>
      </w:r>
      <w:proofErr w:type="gramEnd"/>
      <w:r w:rsidRPr="00A451FC">
        <w:rPr>
          <w:rFonts w:ascii="微软雅黑" w:eastAsia="微软雅黑" w:hAnsi="微软雅黑" w:cs="宋体" w:hint="eastAsia"/>
          <w:color w:val="333333"/>
          <w:kern w:val="0"/>
          <w:sz w:val="27"/>
          <w:szCs w:val="27"/>
          <w14:ligatures w14:val="none"/>
        </w:rPr>
        <w:t>返贫致贫机制研究</w:t>
      </w:r>
    </w:p>
    <w:p w14:paraId="1BD7F760"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55.促进革命老区、民族地区、边疆地区等振兴发展的差异化政策研究</w:t>
      </w:r>
    </w:p>
    <w:p w14:paraId="4739F132"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56.促进区域联动发展的基本内涵、实现路径与政策体系研究</w:t>
      </w:r>
    </w:p>
    <w:p w14:paraId="14E6EFE8"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57.流域经济与促进区域联动发展研究</w:t>
      </w:r>
    </w:p>
    <w:p w14:paraId="7A8E6641"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58.强化主体功能区战略实施的制度体系与空间治理研究</w:t>
      </w:r>
    </w:p>
    <w:p w14:paraId="43F5B6B0"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59.超大特大城市治理现代化实践研究</w:t>
      </w:r>
    </w:p>
    <w:p w14:paraId="446E4724"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60.实施城市更新与建设现代化人民城市的实践创新研究</w:t>
      </w:r>
    </w:p>
    <w:p w14:paraId="55AC1BAD"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61.维护海洋权益和安全的战略体系与制度建设研究</w:t>
      </w:r>
    </w:p>
    <w:p w14:paraId="46AE8F65"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lastRenderedPageBreak/>
        <w:t>62.新时代中国特色社会主义文化的基本内涵、发展方向与创新实践研究</w:t>
      </w:r>
    </w:p>
    <w:p w14:paraId="31BFDD79"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63.以体制机制创新激发全民族文化创新创造活力研究</w:t>
      </w:r>
    </w:p>
    <w:p w14:paraId="28A0453F"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64.持续提高国家</w:t>
      </w:r>
      <w:proofErr w:type="gramStart"/>
      <w:r w:rsidRPr="00A451FC">
        <w:rPr>
          <w:rFonts w:ascii="微软雅黑" w:eastAsia="微软雅黑" w:hAnsi="微软雅黑" w:cs="宋体" w:hint="eastAsia"/>
          <w:color w:val="333333"/>
          <w:kern w:val="0"/>
          <w:sz w:val="27"/>
          <w:szCs w:val="27"/>
          <w14:ligatures w14:val="none"/>
        </w:rPr>
        <w:t>软实力</w:t>
      </w:r>
      <w:proofErr w:type="gramEnd"/>
      <w:r w:rsidRPr="00A451FC">
        <w:rPr>
          <w:rFonts w:ascii="微软雅黑" w:eastAsia="微软雅黑" w:hAnsi="微软雅黑" w:cs="宋体" w:hint="eastAsia"/>
          <w:color w:val="333333"/>
          <w:kern w:val="0"/>
          <w:sz w:val="27"/>
          <w:szCs w:val="27"/>
          <w14:ligatures w14:val="none"/>
        </w:rPr>
        <w:t>的国际比较、总体思路和政策建议研究</w:t>
      </w:r>
    </w:p>
    <w:p w14:paraId="278D5702"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65.文化养心志育情操的作用机理与政策支持研究</w:t>
      </w:r>
    </w:p>
    <w:p w14:paraId="744FA863"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66.校园文化建设的育人功能与社会影响研究</w:t>
      </w:r>
    </w:p>
    <w:p w14:paraId="2EFBD4CD"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67.统筹推进城乡精神文明建设的支撑体系研究</w:t>
      </w:r>
    </w:p>
    <w:p w14:paraId="0E1F999D"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68.网络文明建设的理论建构与制度设计研究</w:t>
      </w:r>
    </w:p>
    <w:p w14:paraId="6D54C70B"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69.网络生态治理的理论逻辑与实践路径研究</w:t>
      </w:r>
    </w:p>
    <w:p w14:paraId="6864D4E0"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70.加强网络内容建设和管理的政策体系研究</w:t>
      </w:r>
    </w:p>
    <w:p w14:paraId="7F477428"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71.提升信息化条件下文化领域治理能力研究</w:t>
      </w:r>
    </w:p>
    <w:p w14:paraId="73401A1D"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72.互联网条件下新大众文艺的创作机制与传播体系研究</w:t>
      </w:r>
    </w:p>
    <w:p w14:paraId="7D36C6D6"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73.新闻宣传和网络舆论一体化管理体系创新研究</w:t>
      </w:r>
    </w:p>
    <w:p w14:paraId="39770D22"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74.文化遗产系统性保护和统一监管督察的制度体系与执行机制研究</w:t>
      </w:r>
    </w:p>
    <w:p w14:paraId="273FA1E7"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lastRenderedPageBreak/>
        <w:t>75.提升公共文化服务质量和效益的评价体系研究</w:t>
      </w:r>
    </w:p>
    <w:p w14:paraId="4F32D882"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76.积极的文化经济政策的理论内涵与实施路径研究</w:t>
      </w:r>
    </w:p>
    <w:p w14:paraId="6CA8D8E7"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77.文化</w:t>
      </w:r>
      <w:proofErr w:type="gramStart"/>
      <w:r w:rsidRPr="00A451FC">
        <w:rPr>
          <w:rFonts w:ascii="微软雅黑" w:eastAsia="微软雅黑" w:hAnsi="微软雅黑" w:cs="宋体" w:hint="eastAsia"/>
          <w:color w:val="333333"/>
          <w:kern w:val="0"/>
          <w:sz w:val="27"/>
          <w:szCs w:val="27"/>
          <w14:ligatures w14:val="none"/>
        </w:rPr>
        <w:t>建设数智化</w:t>
      </w:r>
      <w:proofErr w:type="gramEnd"/>
      <w:r w:rsidRPr="00A451FC">
        <w:rPr>
          <w:rFonts w:ascii="微软雅黑" w:eastAsia="微软雅黑" w:hAnsi="微软雅黑" w:cs="宋体" w:hint="eastAsia"/>
          <w:color w:val="333333"/>
          <w:kern w:val="0"/>
          <w:sz w:val="27"/>
          <w:szCs w:val="27"/>
          <w14:ligatures w14:val="none"/>
        </w:rPr>
        <w:t>赋能、信息化转型的新趋势与促进策略研究</w:t>
      </w:r>
    </w:p>
    <w:p w14:paraId="2496026B"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78.加强未成年人网络保护的制度体系与法律保障研究</w:t>
      </w:r>
    </w:p>
    <w:p w14:paraId="29E776F3"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79.</w:t>
      </w:r>
      <w:proofErr w:type="gramStart"/>
      <w:r w:rsidRPr="00A451FC">
        <w:rPr>
          <w:rFonts w:ascii="微软雅黑" w:eastAsia="微软雅黑" w:hAnsi="微软雅黑" w:cs="宋体" w:hint="eastAsia"/>
          <w:color w:val="333333"/>
          <w:kern w:val="0"/>
          <w:sz w:val="27"/>
          <w:szCs w:val="27"/>
          <w14:ligatures w14:val="none"/>
        </w:rPr>
        <w:t>文旅深度</w:t>
      </w:r>
      <w:proofErr w:type="gramEnd"/>
      <w:r w:rsidRPr="00A451FC">
        <w:rPr>
          <w:rFonts w:ascii="微软雅黑" w:eastAsia="微软雅黑" w:hAnsi="微软雅黑" w:cs="宋体" w:hint="eastAsia"/>
          <w:color w:val="333333"/>
          <w:kern w:val="0"/>
          <w:sz w:val="27"/>
          <w:szCs w:val="27"/>
          <w14:ligatures w14:val="none"/>
        </w:rPr>
        <w:t>融合赋能文化传承与经济社会发展的协同机制研究</w:t>
      </w:r>
    </w:p>
    <w:p w14:paraId="2FCB04F8"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80.文化赋能经济社会发展的总体思路、实施路径和政策体系研究</w:t>
      </w:r>
    </w:p>
    <w:p w14:paraId="1A8A7CE1"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81.完善国际传播体制机制与创新传播载体和方式研究</w:t>
      </w:r>
    </w:p>
    <w:p w14:paraId="4DE594F6"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82.主流媒体增强国际传播能力与提升传播效能研究</w:t>
      </w:r>
    </w:p>
    <w:p w14:paraId="7B90774E"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83.创新对外传播话语体系全面提升国际话语权的实践路径研究</w:t>
      </w:r>
    </w:p>
    <w:p w14:paraId="703DF8A6"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84.文化企业和优秀文化产品走向世界的实现路径与政策支持研究</w:t>
      </w:r>
    </w:p>
    <w:p w14:paraId="1478E853"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85.畅通社会流动渠道的实现机制研究</w:t>
      </w:r>
    </w:p>
    <w:p w14:paraId="7D7580E7"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86.构建就业友好型发展方式的政策体系与社会保障研究</w:t>
      </w:r>
    </w:p>
    <w:p w14:paraId="1FDF2C6F"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87.新技术发展对就业的影响分析及政策研究</w:t>
      </w:r>
    </w:p>
    <w:p w14:paraId="4FB86462"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88.多渠道增加城乡居民财产性收入的制度设计与政策优化研究</w:t>
      </w:r>
    </w:p>
    <w:p w14:paraId="6FEFD712"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lastRenderedPageBreak/>
        <w:t>89.健全与人口变化相适应的教育资源配置机制研究</w:t>
      </w:r>
    </w:p>
    <w:p w14:paraId="5F1AB4B7"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90.推动高等教育提质扩容面临的挑战与对策研究</w:t>
      </w:r>
    </w:p>
    <w:p w14:paraId="1E93AEF8"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91.健全学校家庭社会协同育人机制的理论与实践研究</w:t>
      </w:r>
    </w:p>
    <w:p w14:paraId="22AC1572"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92.加快发展多层次多支柱养老保险体系的重点难点问题研究</w:t>
      </w:r>
    </w:p>
    <w:p w14:paraId="3EBF767A"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93.推进全民</w:t>
      </w:r>
      <w:proofErr w:type="gramStart"/>
      <w:r w:rsidRPr="00A451FC">
        <w:rPr>
          <w:rFonts w:ascii="微软雅黑" w:eastAsia="微软雅黑" w:hAnsi="微软雅黑" w:cs="宋体" w:hint="eastAsia"/>
          <w:color w:val="333333"/>
          <w:kern w:val="0"/>
          <w:sz w:val="27"/>
          <w:szCs w:val="27"/>
          <w14:ligatures w14:val="none"/>
        </w:rPr>
        <w:t>健康数智化</w:t>
      </w:r>
      <w:proofErr w:type="gramEnd"/>
      <w:r w:rsidRPr="00A451FC">
        <w:rPr>
          <w:rFonts w:ascii="微软雅黑" w:eastAsia="微软雅黑" w:hAnsi="微软雅黑" w:cs="宋体" w:hint="eastAsia"/>
          <w:color w:val="333333"/>
          <w:kern w:val="0"/>
          <w:sz w:val="27"/>
          <w:szCs w:val="27"/>
          <w14:ligatures w14:val="none"/>
        </w:rPr>
        <w:t>建设的政策保障研究</w:t>
      </w:r>
    </w:p>
    <w:p w14:paraId="52310BC6"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94.构建覆盖全人群、全生命周期的人口服务体系研究</w:t>
      </w:r>
    </w:p>
    <w:p w14:paraId="3E9D8285"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95.健全养老事业和产业协同发展政策机制研究</w:t>
      </w:r>
    </w:p>
    <w:p w14:paraId="3BA50F1E"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96.基本公共服务均等</w:t>
      </w:r>
      <w:proofErr w:type="gramStart"/>
      <w:r w:rsidRPr="00A451FC">
        <w:rPr>
          <w:rFonts w:ascii="微软雅黑" w:eastAsia="微软雅黑" w:hAnsi="微软雅黑" w:cs="宋体" w:hint="eastAsia"/>
          <w:color w:val="333333"/>
          <w:kern w:val="0"/>
          <w:sz w:val="27"/>
          <w:szCs w:val="27"/>
          <w14:ligatures w14:val="none"/>
        </w:rPr>
        <w:t>化评价</w:t>
      </w:r>
      <w:proofErr w:type="gramEnd"/>
      <w:r w:rsidRPr="00A451FC">
        <w:rPr>
          <w:rFonts w:ascii="微软雅黑" w:eastAsia="微软雅黑" w:hAnsi="微软雅黑" w:cs="宋体" w:hint="eastAsia"/>
          <w:color w:val="333333"/>
          <w:kern w:val="0"/>
          <w:sz w:val="27"/>
          <w:szCs w:val="27"/>
          <w14:ligatures w14:val="none"/>
        </w:rPr>
        <w:t>标准研究</w:t>
      </w:r>
    </w:p>
    <w:p w14:paraId="4641D3D4"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97.源头治理与多污染物控制协同的实现路径研究</w:t>
      </w:r>
    </w:p>
    <w:p w14:paraId="6668555D"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98.完善多元化生态补偿机制研究</w:t>
      </w:r>
    </w:p>
    <w:p w14:paraId="4B9FB976"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99.健全适应新型能源体系的市场和价格机制研究</w:t>
      </w:r>
    </w:p>
    <w:p w14:paraId="499AB431"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100.绿色低碳标准体系的国际规则完善与衔接互认模式研究</w:t>
      </w:r>
    </w:p>
    <w:p w14:paraId="4EFF8AD9"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101.提升应对气候变化特别是极端天气能力的政策研究</w:t>
      </w:r>
    </w:p>
    <w:p w14:paraId="3C7E98E0"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102.构建海外安全保障体系研究</w:t>
      </w:r>
    </w:p>
    <w:p w14:paraId="5FBB8E62"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lastRenderedPageBreak/>
        <w:t>103.反制裁、反干预、反“长臂管辖”斗争策略研究</w:t>
      </w:r>
    </w:p>
    <w:p w14:paraId="39522A9B"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104.加强新兴领域国家安全能力建设研究</w:t>
      </w:r>
    </w:p>
    <w:p w14:paraId="20395075"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105.提升重要基础设施本质安全水平的政策研究</w:t>
      </w:r>
    </w:p>
    <w:p w14:paraId="51D04B4E"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106.深化社会治安整体防控体系和能力建设研究</w:t>
      </w:r>
    </w:p>
    <w:p w14:paraId="3EE5CF05"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107.网络空间安全综合治理的制度体系与能力建设研究</w:t>
      </w:r>
    </w:p>
    <w:p w14:paraId="1143CAEF"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108.未成年人违法犯罪预防和治理机制研究</w:t>
      </w:r>
    </w:p>
    <w:p w14:paraId="70CCFDAD"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109.社会治理的新形势新挑战与完善治理体系研究</w:t>
      </w:r>
    </w:p>
    <w:p w14:paraId="032CC14D"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110.完善共建共治共享社会治理制度研究</w:t>
      </w:r>
    </w:p>
    <w:p w14:paraId="6700465E"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111.党建引领基层治理和基层政权建设的理论与实践研究</w:t>
      </w:r>
    </w:p>
    <w:p w14:paraId="1098621D"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112.健全社会心理服务体系和危机干预机制研究</w:t>
      </w:r>
    </w:p>
    <w:p w14:paraId="40F8B479"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113.深化全民国防教育创新实践研究</w:t>
      </w:r>
    </w:p>
    <w:p w14:paraId="203059CE"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114.加强宗教事务治理法治化研究</w:t>
      </w:r>
    </w:p>
    <w:p w14:paraId="79F1F120"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115.宪法法律实施和监督体制机制研究</w:t>
      </w:r>
    </w:p>
    <w:p w14:paraId="51BC48CB"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116.完善维护国家法治统一制度机制的理论与实践研究</w:t>
      </w:r>
    </w:p>
    <w:p w14:paraId="3F416A70"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lastRenderedPageBreak/>
        <w:t>117.完善实质性化解行政争议机制研究</w:t>
      </w:r>
    </w:p>
    <w:p w14:paraId="4B9D2A98"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118.完善司法</w:t>
      </w:r>
      <w:proofErr w:type="gramStart"/>
      <w:r w:rsidRPr="00A451FC">
        <w:rPr>
          <w:rFonts w:ascii="微软雅黑" w:eastAsia="微软雅黑" w:hAnsi="微软雅黑" w:cs="宋体" w:hint="eastAsia"/>
          <w:color w:val="333333"/>
          <w:kern w:val="0"/>
          <w:sz w:val="27"/>
          <w:szCs w:val="27"/>
          <w14:ligatures w14:val="none"/>
        </w:rPr>
        <w:t>公正实现</w:t>
      </w:r>
      <w:proofErr w:type="gramEnd"/>
      <w:r w:rsidRPr="00A451FC">
        <w:rPr>
          <w:rFonts w:ascii="微软雅黑" w:eastAsia="微软雅黑" w:hAnsi="微软雅黑" w:cs="宋体" w:hint="eastAsia"/>
          <w:color w:val="333333"/>
          <w:kern w:val="0"/>
          <w:sz w:val="27"/>
          <w:szCs w:val="27"/>
          <w14:ligatures w14:val="none"/>
        </w:rPr>
        <w:t>和评价机制研究</w:t>
      </w:r>
    </w:p>
    <w:p w14:paraId="6777F63D"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119.加强公益诉讼的法制保障研究</w:t>
      </w:r>
    </w:p>
    <w:p w14:paraId="002E6705"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120.加快涉外法治体系和能力建设研究</w:t>
      </w:r>
    </w:p>
    <w:p w14:paraId="0F32CAAA"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121.完善便利港澳居民在内地发展和生活的政策措施研究</w:t>
      </w:r>
    </w:p>
    <w:p w14:paraId="2A9596CE"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122.深化两岸交流合作共同传承弘扬中华文化的政策举措研究</w:t>
      </w:r>
    </w:p>
    <w:p w14:paraId="47C723C6"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123.构建周边命运共同体的理论内涵与实现路径研究</w:t>
      </w:r>
    </w:p>
    <w:p w14:paraId="3DB44529" w14:textId="77777777" w:rsidR="00D570A7" w:rsidRPr="00A451FC" w:rsidRDefault="00D570A7" w:rsidP="00D570A7">
      <w:pPr>
        <w:widowControl/>
        <w:spacing w:before="375" w:after="375" w:line="540" w:lineRule="atLeast"/>
        <w:ind w:firstLine="480"/>
        <w:rPr>
          <w:rFonts w:ascii="微软雅黑" w:eastAsia="微软雅黑" w:hAnsi="微软雅黑" w:cs="宋体" w:hint="eastAsia"/>
          <w:color w:val="333333"/>
          <w:kern w:val="0"/>
          <w:sz w:val="27"/>
          <w:szCs w:val="27"/>
          <w14:ligatures w14:val="none"/>
        </w:rPr>
      </w:pPr>
      <w:r w:rsidRPr="00A451FC">
        <w:rPr>
          <w:rFonts w:ascii="微软雅黑" w:eastAsia="微软雅黑" w:hAnsi="微软雅黑" w:cs="宋体" w:hint="eastAsia"/>
          <w:color w:val="333333"/>
          <w:kern w:val="0"/>
          <w:sz w:val="27"/>
          <w:szCs w:val="27"/>
          <w14:ligatures w14:val="none"/>
        </w:rPr>
        <w:t>124.全球南方联合自强的理念创新与合作机制研究</w:t>
      </w:r>
    </w:p>
    <w:p w14:paraId="18DB0540" w14:textId="77777777" w:rsidR="009E519D" w:rsidRPr="00D570A7" w:rsidRDefault="009E519D">
      <w:pPr>
        <w:rPr>
          <w:rFonts w:hint="eastAsia"/>
        </w:rPr>
      </w:pPr>
    </w:p>
    <w:sectPr w:rsidR="009E519D" w:rsidRPr="00D570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A7"/>
    <w:rsid w:val="001B2BC6"/>
    <w:rsid w:val="009E519D"/>
    <w:rsid w:val="00C81534"/>
    <w:rsid w:val="00D570A7"/>
    <w:rsid w:val="00E74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C6D1"/>
  <w15:chartTrackingRefBased/>
  <w15:docId w15:val="{9522506F-5DE4-429C-9B08-E6B28CB6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A7"/>
    <w:pPr>
      <w:widowControl w:val="0"/>
    </w:pPr>
  </w:style>
  <w:style w:type="paragraph" w:styleId="1">
    <w:name w:val="heading 1"/>
    <w:basedOn w:val="a"/>
    <w:next w:val="a"/>
    <w:link w:val="10"/>
    <w:uiPriority w:val="9"/>
    <w:qFormat/>
    <w:rsid w:val="00D570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570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570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570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570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570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570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70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70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70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570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570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570A7"/>
    <w:rPr>
      <w:rFonts w:cstheme="majorBidi"/>
      <w:color w:val="0F4761" w:themeColor="accent1" w:themeShade="BF"/>
      <w:sz w:val="28"/>
      <w:szCs w:val="28"/>
    </w:rPr>
  </w:style>
  <w:style w:type="character" w:customStyle="1" w:styleId="50">
    <w:name w:val="标题 5 字符"/>
    <w:basedOn w:val="a0"/>
    <w:link w:val="5"/>
    <w:uiPriority w:val="9"/>
    <w:semiHidden/>
    <w:rsid w:val="00D570A7"/>
    <w:rPr>
      <w:rFonts w:cstheme="majorBidi"/>
      <w:color w:val="0F4761" w:themeColor="accent1" w:themeShade="BF"/>
      <w:sz w:val="24"/>
    </w:rPr>
  </w:style>
  <w:style w:type="character" w:customStyle="1" w:styleId="60">
    <w:name w:val="标题 6 字符"/>
    <w:basedOn w:val="a0"/>
    <w:link w:val="6"/>
    <w:uiPriority w:val="9"/>
    <w:semiHidden/>
    <w:rsid w:val="00D570A7"/>
    <w:rPr>
      <w:rFonts w:cstheme="majorBidi"/>
      <w:b/>
      <w:bCs/>
      <w:color w:val="0F4761" w:themeColor="accent1" w:themeShade="BF"/>
    </w:rPr>
  </w:style>
  <w:style w:type="character" w:customStyle="1" w:styleId="70">
    <w:name w:val="标题 7 字符"/>
    <w:basedOn w:val="a0"/>
    <w:link w:val="7"/>
    <w:uiPriority w:val="9"/>
    <w:semiHidden/>
    <w:rsid w:val="00D570A7"/>
    <w:rPr>
      <w:rFonts w:cstheme="majorBidi"/>
      <w:b/>
      <w:bCs/>
      <w:color w:val="595959" w:themeColor="text1" w:themeTint="A6"/>
    </w:rPr>
  </w:style>
  <w:style w:type="character" w:customStyle="1" w:styleId="80">
    <w:name w:val="标题 8 字符"/>
    <w:basedOn w:val="a0"/>
    <w:link w:val="8"/>
    <w:uiPriority w:val="9"/>
    <w:semiHidden/>
    <w:rsid w:val="00D570A7"/>
    <w:rPr>
      <w:rFonts w:cstheme="majorBidi"/>
      <w:color w:val="595959" w:themeColor="text1" w:themeTint="A6"/>
    </w:rPr>
  </w:style>
  <w:style w:type="character" w:customStyle="1" w:styleId="90">
    <w:name w:val="标题 9 字符"/>
    <w:basedOn w:val="a0"/>
    <w:link w:val="9"/>
    <w:uiPriority w:val="9"/>
    <w:semiHidden/>
    <w:rsid w:val="00D570A7"/>
    <w:rPr>
      <w:rFonts w:eastAsiaTheme="majorEastAsia" w:cstheme="majorBidi"/>
      <w:color w:val="595959" w:themeColor="text1" w:themeTint="A6"/>
    </w:rPr>
  </w:style>
  <w:style w:type="paragraph" w:styleId="a3">
    <w:name w:val="Title"/>
    <w:basedOn w:val="a"/>
    <w:next w:val="a"/>
    <w:link w:val="a4"/>
    <w:uiPriority w:val="10"/>
    <w:qFormat/>
    <w:rsid w:val="00D570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70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70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70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70A7"/>
    <w:pPr>
      <w:spacing w:before="160"/>
      <w:jc w:val="center"/>
    </w:pPr>
    <w:rPr>
      <w:i/>
      <w:iCs/>
      <w:color w:val="404040" w:themeColor="text1" w:themeTint="BF"/>
    </w:rPr>
  </w:style>
  <w:style w:type="character" w:customStyle="1" w:styleId="a8">
    <w:name w:val="引用 字符"/>
    <w:basedOn w:val="a0"/>
    <w:link w:val="a7"/>
    <w:uiPriority w:val="29"/>
    <w:rsid w:val="00D570A7"/>
    <w:rPr>
      <w:i/>
      <w:iCs/>
      <w:color w:val="404040" w:themeColor="text1" w:themeTint="BF"/>
    </w:rPr>
  </w:style>
  <w:style w:type="paragraph" w:styleId="a9">
    <w:name w:val="List Paragraph"/>
    <w:basedOn w:val="a"/>
    <w:uiPriority w:val="34"/>
    <w:qFormat/>
    <w:rsid w:val="00D570A7"/>
    <w:pPr>
      <w:ind w:left="720"/>
      <w:contextualSpacing/>
    </w:pPr>
  </w:style>
  <w:style w:type="character" w:styleId="aa">
    <w:name w:val="Intense Emphasis"/>
    <w:basedOn w:val="a0"/>
    <w:uiPriority w:val="21"/>
    <w:qFormat/>
    <w:rsid w:val="00D570A7"/>
    <w:rPr>
      <w:i/>
      <w:iCs/>
      <w:color w:val="0F4761" w:themeColor="accent1" w:themeShade="BF"/>
    </w:rPr>
  </w:style>
  <w:style w:type="paragraph" w:styleId="ab">
    <w:name w:val="Intense Quote"/>
    <w:basedOn w:val="a"/>
    <w:next w:val="a"/>
    <w:link w:val="ac"/>
    <w:uiPriority w:val="30"/>
    <w:qFormat/>
    <w:rsid w:val="00D57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570A7"/>
    <w:rPr>
      <w:i/>
      <w:iCs/>
      <w:color w:val="0F4761" w:themeColor="accent1" w:themeShade="BF"/>
    </w:rPr>
  </w:style>
  <w:style w:type="character" w:styleId="ad">
    <w:name w:val="Intense Reference"/>
    <w:basedOn w:val="a0"/>
    <w:uiPriority w:val="32"/>
    <w:qFormat/>
    <w:rsid w:val="00D570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2025-12-29T02:43:00Z</dcterms:created>
  <dcterms:modified xsi:type="dcterms:W3CDTF">2025-12-29T02:54:00Z</dcterms:modified>
</cp:coreProperties>
</file>